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DAD6" w14:textId="0C8CF157" w:rsidR="005F341B" w:rsidRDefault="00C45EEF" w:rsidP="00C45EEF">
      <w:pPr>
        <w:pBdr>
          <w:bottom w:val="single" w:sz="4" w:space="1" w:color="auto"/>
        </w:pBdr>
        <w:spacing w:after="12"/>
        <w:rPr>
          <w:rFonts w:cstheme="majorHAnsi"/>
          <w:b/>
          <w:sz w:val="28"/>
          <w:szCs w:val="28"/>
        </w:rPr>
      </w:pPr>
      <w:r>
        <w:rPr>
          <w:b/>
          <w:sz w:val="28"/>
          <w:szCs w:val="28"/>
        </w:rPr>
        <w:t xml:space="preserve">Piano di emergenza per il trattamento palliativo </w:t>
      </w:r>
      <w:r w:rsidR="00F25AE6" w:rsidRPr="00F25AE6">
        <w:rPr>
          <w:b/>
          <w:sz w:val="28"/>
          <w:szCs w:val="28"/>
        </w:rPr>
        <w:t>dei pazienti affetti da corona</w:t>
      </w:r>
      <w:r w:rsidR="005669EC">
        <w:rPr>
          <w:b/>
          <w:sz w:val="28"/>
          <w:szCs w:val="28"/>
        </w:rPr>
        <w:t xml:space="preserve">virus </w:t>
      </w:r>
    </w:p>
    <w:p w14:paraId="2B55625C" w14:textId="77777777" w:rsidR="00606EA8" w:rsidRPr="00322A30" w:rsidRDefault="00606EA8" w:rsidP="00606EA8"/>
    <w:p w14:paraId="05AB2237" w14:textId="77777777" w:rsidR="00606EA8" w:rsidRDefault="00606EA8" w:rsidP="00606EA8">
      <w:r>
        <w:t>Cognome: ……………………………… Nome: ……………………………… Data di nascita: ………………………</w:t>
      </w:r>
    </w:p>
    <w:p w14:paraId="114C53B4" w14:textId="77777777" w:rsidR="00606EA8" w:rsidRPr="00322A30" w:rsidRDefault="00606EA8" w:rsidP="00606EA8"/>
    <w:p w14:paraId="3833CAF3" w14:textId="0EFA3639" w:rsidR="00606EA8" w:rsidRDefault="00606EA8" w:rsidP="00606EA8">
      <w:r>
        <w:t>Desidero che l’obiettivo terapeutico in caso di infezione da coronavirus sia alleviare efficacemente ogni possibile sofferenza. Non desidero il ricovero ospedaliero e, in particolare, non desidero ricevere alcun trattamento di terapia intensiva; desidero essere assistito/a da Spitex</w:t>
      </w:r>
      <w:r w:rsidR="00E73FCE">
        <w:t>,</w:t>
      </w:r>
      <w:r>
        <w:t xml:space="preserve"> dal mio medico di famiglia</w:t>
      </w:r>
      <w:r w:rsidR="00E73FCE">
        <w:t xml:space="preserve"> e,</w:t>
      </w:r>
      <w:r>
        <w:t xml:space="preserve"> se necessario</w:t>
      </w:r>
      <w:r w:rsidR="00E73FCE">
        <w:t>,</w:t>
      </w:r>
      <w:r>
        <w:t xml:space="preserve"> dal servizio </w:t>
      </w:r>
      <w:r w:rsidR="00E73FCE">
        <w:t xml:space="preserve">di </w:t>
      </w:r>
      <w:r>
        <w:t>cure palliative.</w:t>
      </w:r>
    </w:p>
    <w:p w14:paraId="35FDACB6" w14:textId="77777777" w:rsidR="00606EA8" w:rsidRPr="00322A30" w:rsidRDefault="00606EA8" w:rsidP="00606EA8"/>
    <w:p w14:paraId="5FD79330" w14:textId="1BE58521" w:rsidR="00606EA8" w:rsidRDefault="00606EA8" w:rsidP="00606EA8">
      <w:r>
        <w:t>Luogo, data: ………………………………… Firma (paz. / rappr.):</w:t>
      </w:r>
      <w:r w:rsidR="00C44EFA">
        <w:t xml:space="preserve"> </w:t>
      </w:r>
      <w:r>
        <w:t>……………………………………………</w:t>
      </w:r>
    </w:p>
    <w:p w14:paraId="6C3686CE" w14:textId="77777777" w:rsidR="00606EA8" w:rsidRPr="00322A30" w:rsidRDefault="00606EA8" w:rsidP="00606EA8"/>
    <w:p w14:paraId="02DE7C09" w14:textId="28244EE3" w:rsidR="00606EA8" w:rsidRDefault="00606EA8" w:rsidP="00606EA8">
      <w:r>
        <w:t>In presenza di sintomi, le seguenti misure</w:t>
      </w:r>
      <w:r w:rsidR="00DF62F8">
        <w:t xml:space="preserve"> d’aiuto </w:t>
      </w:r>
      <w:r>
        <w:t xml:space="preserve"> possono essere adottate dai pazienti, dai loro familiari o da Spitex.</w:t>
      </w:r>
    </w:p>
    <w:p w14:paraId="2C4907AA" w14:textId="77777777" w:rsidR="00606EA8" w:rsidRPr="00322A30" w:rsidRDefault="00606EA8" w:rsidP="00606EA8"/>
    <w:tbl>
      <w:tblPr>
        <w:tblStyle w:val="Tabellenraster"/>
        <w:tblW w:w="0" w:type="auto"/>
        <w:tblLook w:val="04A0" w:firstRow="1" w:lastRow="0" w:firstColumn="1" w:lastColumn="0" w:noHBand="0" w:noVBand="1"/>
      </w:tblPr>
      <w:tblGrid>
        <w:gridCol w:w="2376"/>
        <w:gridCol w:w="6836"/>
      </w:tblGrid>
      <w:tr w:rsidR="00606EA8" w:rsidRPr="0057028E" w14:paraId="3BD7F966" w14:textId="77777777" w:rsidTr="0099153A">
        <w:tc>
          <w:tcPr>
            <w:tcW w:w="2376" w:type="dxa"/>
            <w:shd w:val="clear" w:color="auto" w:fill="B8CCE4" w:themeFill="accent1" w:themeFillTint="66"/>
          </w:tcPr>
          <w:p w14:paraId="08B7C68D" w14:textId="77777777" w:rsidR="00606EA8" w:rsidRPr="0057028E" w:rsidRDefault="00606EA8" w:rsidP="0099153A">
            <w:pPr>
              <w:rPr>
                <w:b/>
              </w:rPr>
            </w:pPr>
            <w:r>
              <w:rPr>
                <w:b/>
              </w:rPr>
              <w:t>Sintomo</w:t>
            </w:r>
          </w:p>
        </w:tc>
        <w:tc>
          <w:tcPr>
            <w:tcW w:w="6836" w:type="dxa"/>
            <w:shd w:val="clear" w:color="auto" w:fill="B8CCE4" w:themeFill="accent1" w:themeFillTint="66"/>
          </w:tcPr>
          <w:p w14:paraId="0D48C5C6" w14:textId="69CC2364" w:rsidR="00606EA8" w:rsidRPr="0057028E" w:rsidRDefault="00606EA8" w:rsidP="0099153A">
            <w:pPr>
              <w:rPr>
                <w:b/>
              </w:rPr>
            </w:pPr>
            <w:r>
              <w:rPr>
                <w:b/>
              </w:rPr>
              <w:t>Misure (</w:t>
            </w:r>
            <w:r w:rsidR="00040619">
              <w:rPr>
                <w:b/>
              </w:rPr>
              <w:t>a</w:t>
            </w:r>
            <w:r w:rsidR="00040619" w:rsidRPr="00040619">
              <w:rPr>
                <w:b/>
              </w:rPr>
              <w:t>dattare individualmente la scelta dei farmaci in base alla disponibilità e al dosaggio</w:t>
            </w:r>
            <w:r>
              <w:rPr>
                <w:b/>
              </w:rPr>
              <w:t>)</w:t>
            </w:r>
          </w:p>
        </w:tc>
      </w:tr>
      <w:tr w:rsidR="00606EA8" w14:paraId="79BE5FE1" w14:textId="77777777" w:rsidTr="0099153A">
        <w:tc>
          <w:tcPr>
            <w:tcW w:w="2376" w:type="dxa"/>
          </w:tcPr>
          <w:p w14:paraId="678787EF" w14:textId="77777777" w:rsidR="00606EA8" w:rsidRDefault="00606EA8" w:rsidP="0099153A">
            <w:r>
              <w:t>Tosse</w:t>
            </w:r>
          </w:p>
        </w:tc>
        <w:tc>
          <w:tcPr>
            <w:tcW w:w="6836" w:type="dxa"/>
          </w:tcPr>
          <w:p w14:paraId="5576B969" w14:textId="77777777" w:rsidR="00606EA8" w:rsidRDefault="00606EA8" w:rsidP="0099153A">
            <w:r>
              <w:t>Utilizzare precocemente preparati per la tosse con codeina o morfina (v. sotto).</w:t>
            </w:r>
          </w:p>
          <w:p w14:paraId="46B3C5F7" w14:textId="3C20AB3D" w:rsidR="00606EA8" w:rsidRPr="005028D2" w:rsidRDefault="00606EA8" w:rsidP="0099153A">
            <w:r>
              <w:t xml:space="preserve">Trattare la mucosa nasale con crema idratante. </w:t>
            </w:r>
            <w:r w:rsidRPr="00463CF3">
              <w:t>Sciogliere in bocca</w:t>
            </w:r>
            <w:r>
              <w:t xml:space="preserve"> caramelle alla glicerina.</w:t>
            </w:r>
          </w:p>
        </w:tc>
      </w:tr>
      <w:tr w:rsidR="00606EA8" w14:paraId="1ACB2BD1" w14:textId="77777777" w:rsidTr="0099153A">
        <w:tc>
          <w:tcPr>
            <w:tcW w:w="2376" w:type="dxa"/>
          </w:tcPr>
          <w:p w14:paraId="17714210" w14:textId="77777777" w:rsidR="00606EA8" w:rsidRDefault="00606EA8" w:rsidP="0099153A">
            <w:r>
              <w:t>Dispnea</w:t>
            </w:r>
          </w:p>
        </w:tc>
        <w:tc>
          <w:tcPr>
            <w:tcW w:w="6836" w:type="dxa"/>
          </w:tcPr>
          <w:p w14:paraId="6F001515" w14:textId="16E767EE" w:rsidR="00606EA8" w:rsidRDefault="00606EA8" w:rsidP="0099153A">
            <w:r>
              <w:t xml:space="preserve">Aprire la finestra, sollevare la testiera del letto. </w:t>
            </w:r>
            <w:hyperlink r:id="rId10" w:history="1">
              <w:r>
                <w:rPr>
                  <w:rStyle w:val="Hyperlink"/>
                </w:rPr>
                <w:t>Posizionare i cuscini ad A</w:t>
              </w:r>
            </w:hyperlink>
            <w:r>
              <w:t xml:space="preserve">. </w:t>
            </w:r>
            <w:hyperlink r:id="rId11" w:history="1">
              <w:r>
                <w:rPr>
                  <w:rStyle w:val="Hyperlink"/>
                </w:rPr>
                <w:t>Massaggio</w:t>
              </w:r>
            </w:hyperlink>
            <w:r>
              <w:t xml:space="preserve"> stimolante per la respirazione. </w:t>
            </w:r>
            <w:r w:rsidRPr="0005411A">
              <w:t>Mobilitazione.</w:t>
            </w:r>
            <w:r>
              <w:t xml:space="preserve"> </w:t>
            </w:r>
          </w:p>
          <w:p w14:paraId="468ADD3E" w14:textId="06BF99AF" w:rsidR="00C925A9" w:rsidRPr="003F4CF7" w:rsidRDefault="00C925A9" w:rsidP="0099153A">
            <w:pPr>
              <w:rPr>
                <w:rFonts w:cstheme="majorHAnsi"/>
              </w:rPr>
            </w:pPr>
            <w:r w:rsidRPr="00C925A9">
              <w:rPr>
                <w:rFonts w:cstheme="majorHAnsi"/>
              </w:rPr>
              <w:t>Valutare la profilassi della trombosi.</w:t>
            </w:r>
          </w:p>
          <w:p w14:paraId="7135CC73" w14:textId="77777777" w:rsidR="00606EA8" w:rsidRPr="003F4CF7" w:rsidRDefault="00606EA8" w:rsidP="0099153A">
            <w:pPr>
              <w:rPr>
                <w:rFonts w:cstheme="majorHAnsi"/>
              </w:rPr>
            </w:pPr>
            <w:r>
              <w:t>Oppioidi:</w:t>
            </w:r>
          </w:p>
          <w:p w14:paraId="37F14181" w14:textId="213D86FB" w:rsidR="00606EA8" w:rsidRPr="003F4CF7" w:rsidRDefault="00606EA8" w:rsidP="00606EA8">
            <w:pPr>
              <w:pStyle w:val="Listenabsatz"/>
              <w:numPr>
                <w:ilvl w:val="0"/>
                <w:numId w:val="22"/>
              </w:numPr>
              <w:spacing w:after="0" w:line="240" w:lineRule="auto"/>
              <w:rPr>
                <w:rFonts w:asciiTheme="majorHAnsi" w:hAnsiTheme="majorHAnsi" w:cstheme="majorHAnsi"/>
              </w:rPr>
            </w:pPr>
            <w:r>
              <w:rPr>
                <w:rFonts w:asciiTheme="majorHAnsi" w:hAnsiTheme="majorHAnsi"/>
              </w:rPr>
              <w:t xml:space="preserve">Somministrare </w:t>
            </w:r>
            <w:r w:rsidR="00C84250">
              <w:rPr>
                <w:rFonts w:asciiTheme="majorHAnsi" w:hAnsiTheme="majorHAnsi"/>
              </w:rPr>
              <w:t>3-</w:t>
            </w:r>
            <w:r>
              <w:rPr>
                <w:rFonts w:asciiTheme="majorHAnsi" w:hAnsiTheme="majorHAnsi"/>
              </w:rPr>
              <w:t>5 gocce di morfina al 2% in caso di dispnea. Ripetere max. ogni ora fino alla comparsa di un miglioramento.</w:t>
            </w:r>
          </w:p>
          <w:p w14:paraId="3D6AB0BB" w14:textId="0AC5952B" w:rsidR="00606EA8" w:rsidRPr="003F4CF7" w:rsidRDefault="00606EA8" w:rsidP="00606EA8">
            <w:pPr>
              <w:pStyle w:val="Listenabsatz"/>
              <w:numPr>
                <w:ilvl w:val="0"/>
                <w:numId w:val="22"/>
              </w:numPr>
              <w:spacing w:after="0" w:line="240" w:lineRule="auto"/>
              <w:rPr>
                <w:rFonts w:asciiTheme="majorHAnsi" w:hAnsiTheme="majorHAnsi" w:cstheme="majorHAnsi"/>
              </w:rPr>
            </w:pPr>
            <w:r>
              <w:rPr>
                <w:rFonts w:asciiTheme="majorHAnsi" w:hAnsiTheme="majorHAnsi"/>
              </w:rPr>
              <w:t xml:space="preserve">In caso di effetto insufficiente o se il paziente non riesce a deglutire le gocce, iniettare </w:t>
            </w:r>
            <w:r w:rsidR="00687383">
              <w:rPr>
                <w:rFonts w:asciiTheme="majorHAnsi" w:hAnsiTheme="majorHAnsi"/>
              </w:rPr>
              <w:t>2.5-</w:t>
            </w:r>
            <w:r>
              <w:rPr>
                <w:rFonts w:asciiTheme="majorHAnsi" w:hAnsiTheme="majorHAnsi"/>
              </w:rPr>
              <w:t xml:space="preserve">5 mg di morfina s.c., max. ogni mezz’ora (chiedere a un infermiere di preparare le siringhe, o eventualmente una </w:t>
            </w:r>
            <w:hyperlink r:id="rId12" w:history="1">
              <w:r>
                <w:rPr>
                  <w:rStyle w:val="Hyperlink"/>
                  <w:rFonts w:asciiTheme="majorHAnsi" w:hAnsiTheme="majorHAnsi"/>
                </w:rPr>
                <w:t>cannula</w:t>
              </w:r>
            </w:hyperlink>
            <w:r>
              <w:rPr>
                <w:rFonts w:asciiTheme="majorHAnsi" w:hAnsiTheme="majorHAnsi"/>
              </w:rPr>
              <w:t xml:space="preserve"> o un venflon da posizionare una spanna sotto la clavicola).</w:t>
            </w:r>
          </w:p>
          <w:p w14:paraId="53597890" w14:textId="71CEC12A" w:rsidR="00606EA8" w:rsidRPr="00F538D8" w:rsidRDefault="00606EA8" w:rsidP="0099153A">
            <w:pPr>
              <w:pStyle w:val="Listenabsatz"/>
              <w:numPr>
                <w:ilvl w:val="0"/>
                <w:numId w:val="22"/>
              </w:numPr>
              <w:spacing w:after="0" w:line="240" w:lineRule="auto"/>
              <w:rPr>
                <w:rFonts w:asciiTheme="majorHAnsi" w:hAnsiTheme="majorHAnsi" w:cstheme="majorHAnsi"/>
              </w:rPr>
            </w:pPr>
            <w:r>
              <w:rPr>
                <w:rFonts w:asciiTheme="majorHAnsi" w:hAnsiTheme="majorHAnsi"/>
              </w:rPr>
              <w:t>Se servono riserve di morfina per oltre 6 somministrazioni giornaliere, informare il medico per la prescrizione di oppiacei ad azione prolungata. In alternativa, iniettare 5 mg di morfina s.c. ogni 4-6 ore. Se vengono applicati cerotti al fentan</w:t>
            </w:r>
            <w:r w:rsidR="0005411A">
              <w:rPr>
                <w:rFonts w:asciiTheme="majorHAnsi" w:hAnsiTheme="majorHAnsi"/>
              </w:rPr>
              <w:t>il</w:t>
            </w:r>
            <w:r>
              <w:rPr>
                <w:rFonts w:asciiTheme="majorHAnsi" w:hAnsiTheme="majorHAnsi"/>
              </w:rPr>
              <w:t>, si deve considerare un aumento dell’effetto in caso di febbre.</w:t>
            </w:r>
          </w:p>
          <w:p w14:paraId="2A730D1F" w14:textId="77777777" w:rsidR="00606EA8" w:rsidRDefault="00606EA8" w:rsidP="0099153A">
            <w:r>
              <w:t xml:space="preserve">In caso di saturazione d’ossigeno inferiore all’85%, </w:t>
            </w:r>
            <w:hyperlink r:id="rId13" w:history="1">
              <w:r>
                <w:rPr>
                  <w:rStyle w:val="Hyperlink"/>
                </w:rPr>
                <w:t>procurarsi se possibile un concentratore di ossigeno</w:t>
              </w:r>
            </w:hyperlink>
            <w:r>
              <w:t xml:space="preserve"> </w:t>
            </w:r>
            <w:r>
              <w:sym w:font="Wingdings" w:char="F0E0"/>
            </w:r>
            <w:r>
              <w:t xml:space="preserve"> da 2 litri/minuto, aumentare eventualmente a 5 litri/minuto.</w:t>
            </w:r>
          </w:p>
        </w:tc>
      </w:tr>
      <w:tr w:rsidR="00606EA8" w14:paraId="05087949" w14:textId="77777777" w:rsidTr="0099153A">
        <w:tc>
          <w:tcPr>
            <w:tcW w:w="2376" w:type="dxa"/>
          </w:tcPr>
          <w:p w14:paraId="7F5CA453" w14:textId="77777777" w:rsidR="00606EA8" w:rsidRDefault="00606EA8" w:rsidP="0099153A">
            <w:r>
              <w:t>Ansia</w:t>
            </w:r>
          </w:p>
        </w:tc>
        <w:tc>
          <w:tcPr>
            <w:tcW w:w="6836" w:type="dxa"/>
          </w:tcPr>
          <w:p w14:paraId="2018F539" w14:textId="77777777" w:rsidR="00606EA8" w:rsidRPr="00FA389E" w:rsidRDefault="00606EA8" w:rsidP="0099153A">
            <w:r>
              <w:t>Somministrare Temesta exp 1 mg. Ripetibile ogni ora, max. 8 cpr. al giorno.</w:t>
            </w:r>
          </w:p>
          <w:p w14:paraId="788442ED" w14:textId="7C6E3F4A" w:rsidR="00606EA8" w:rsidRDefault="00606EA8" w:rsidP="0099153A">
            <w:r>
              <w:t xml:space="preserve">In caso di difficoltà a deglutire: </w:t>
            </w:r>
            <w:r w:rsidR="00795800" w:rsidRPr="00795800">
              <w:t xml:space="preserve">Midazolam </w:t>
            </w:r>
            <w:r>
              <w:t>5 mg in fiale da 1 ml, iniettare 2,5 mg s.c., max. ogni mezz’ora.</w:t>
            </w:r>
          </w:p>
        </w:tc>
      </w:tr>
      <w:tr w:rsidR="00606EA8" w14:paraId="131C08EB" w14:textId="77777777" w:rsidTr="0099153A">
        <w:tc>
          <w:tcPr>
            <w:tcW w:w="2376" w:type="dxa"/>
          </w:tcPr>
          <w:p w14:paraId="31218A50" w14:textId="77777777" w:rsidR="00606EA8" w:rsidRDefault="00606EA8" w:rsidP="0099153A">
            <w:r>
              <w:t>Sensazione di soffocamento</w:t>
            </w:r>
          </w:p>
        </w:tc>
        <w:tc>
          <w:tcPr>
            <w:tcW w:w="6836" w:type="dxa"/>
          </w:tcPr>
          <w:p w14:paraId="6EC3D9A7" w14:textId="10EFDFEB" w:rsidR="00606EA8" w:rsidRDefault="00606EA8" w:rsidP="0099153A">
            <w:r>
              <w:t xml:space="preserve">Morfina 5 mg s.c. e </w:t>
            </w:r>
            <w:r w:rsidR="00795800" w:rsidRPr="00795800">
              <w:t xml:space="preserve">Midazolam </w:t>
            </w:r>
            <w:r>
              <w:t>2,5 mg s.c. nella stessa siringa, ripetere ogni 15 minuti fino al miglioramento.</w:t>
            </w:r>
          </w:p>
          <w:p w14:paraId="6A81DD84" w14:textId="77777777" w:rsidR="00606EA8" w:rsidRPr="0057028E" w:rsidRDefault="00606EA8" w:rsidP="0099153A">
            <w:r>
              <w:t xml:space="preserve">V. anche sopra le misure in caso di dispnea. </w:t>
            </w:r>
          </w:p>
        </w:tc>
      </w:tr>
      <w:tr w:rsidR="00606EA8" w14:paraId="60307753" w14:textId="77777777" w:rsidTr="0099153A">
        <w:tc>
          <w:tcPr>
            <w:tcW w:w="2376" w:type="dxa"/>
          </w:tcPr>
          <w:p w14:paraId="358ECB6E" w14:textId="77777777" w:rsidR="00606EA8" w:rsidRDefault="00606EA8" w:rsidP="0099153A">
            <w:r>
              <w:lastRenderedPageBreak/>
              <w:t>Dolore</w:t>
            </w:r>
          </w:p>
        </w:tc>
        <w:tc>
          <w:tcPr>
            <w:tcW w:w="6836" w:type="dxa"/>
          </w:tcPr>
          <w:p w14:paraId="421F0D4F" w14:textId="77777777" w:rsidR="00606EA8" w:rsidRPr="0057028E" w:rsidRDefault="00606EA8" w:rsidP="0099153A">
            <w:r>
              <w:t>Dafalgan 500 mg; da 1 a max. 6 cpr. al giorno.</w:t>
            </w:r>
          </w:p>
          <w:p w14:paraId="3C4E5B14" w14:textId="77777777" w:rsidR="00606EA8" w:rsidRDefault="00606EA8" w:rsidP="0099153A">
            <w:r>
              <w:t>Oppiacei come per dispnea.</w:t>
            </w:r>
          </w:p>
          <w:p w14:paraId="2508DDC4" w14:textId="4A7A669E" w:rsidR="00606EA8" w:rsidRDefault="00606EA8" w:rsidP="0099153A"/>
        </w:tc>
      </w:tr>
      <w:tr w:rsidR="00606EA8" w14:paraId="474898E9" w14:textId="77777777" w:rsidTr="0099153A">
        <w:tc>
          <w:tcPr>
            <w:tcW w:w="2376" w:type="dxa"/>
          </w:tcPr>
          <w:p w14:paraId="3E5EA429" w14:textId="77777777" w:rsidR="00606EA8" w:rsidRDefault="00606EA8" w:rsidP="0099153A">
            <w:r>
              <w:t>Nausea</w:t>
            </w:r>
          </w:p>
        </w:tc>
        <w:tc>
          <w:tcPr>
            <w:tcW w:w="6836" w:type="dxa"/>
          </w:tcPr>
          <w:p w14:paraId="4FCCA025" w14:textId="77777777" w:rsidR="00606EA8" w:rsidRDefault="00606EA8" w:rsidP="0099153A">
            <w:r>
              <w:t>In caso di prima assunzione di oppiacei, profilassi per 3 giorni:</w:t>
            </w:r>
          </w:p>
          <w:p w14:paraId="782890D1" w14:textId="17EA467F" w:rsidR="00606EA8" w:rsidRDefault="00606EA8" w:rsidP="0099153A">
            <w:r>
              <w:t xml:space="preserve">Haldol 2 mg/ml </w:t>
            </w:r>
            <w:r w:rsidR="007A1697">
              <w:t>3-</w:t>
            </w:r>
            <w:r>
              <w:t>5 gocce 4 volte al giorno.</w:t>
            </w:r>
          </w:p>
        </w:tc>
      </w:tr>
      <w:tr w:rsidR="00606EA8" w14:paraId="49347841" w14:textId="77777777" w:rsidTr="0099153A">
        <w:tc>
          <w:tcPr>
            <w:tcW w:w="2376" w:type="dxa"/>
          </w:tcPr>
          <w:p w14:paraId="471F0D91" w14:textId="77777777" w:rsidR="00606EA8" w:rsidRDefault="00606EA8" w:rsidP="0099153A">
            <w:r>
              <w:t>Stipsi</w:t>
            </w:r>
          </w:p>
        </w:tc>
        <w:tc>
          <w:tcPr>
            <w:tcW w:w="6836" w:type="dxa"/>
          </w:tcPr>
          <w:p w14:paraId="0D58553C" w14:textId="768A856A" w:rsidR="00606EA8" w:rsidRPr="00C65E7E" w:rsidRDefault="00606EA8" w:rsidP="0099153A">
            <w:r>
              <w:t xml:space="preserve">Quando si assumono oppiacei quotidianamente, occorre somministrare anche un lassativo come Transipeg, </w:t>
            </w:r>
            <w:r w:rsidR="00F66677" w:rsidRPr="00F66677">
              <w:t>Dupholac o sciroppo di fico</w:t>
            </w:r>
          </w:p>
          <w:p w14:paraId="10CAA54F" w14:textId="77777777" w:rsidR="00606EA8" w:rsidRDefault="00606EA8" w:rsidP="0099153A">
            <w:r>
              <w:t>In mancanza di evacuazione per due giorni, aumentare il lassativo fino a quando il paziente riesce a scaricarsi, quindi ridurre a una volta al giorno.</w:t>
            </w:r>
          </w:p>
        </w:tc>
      </w:tr>
      <w:tr w:rsidR="00606EA8" w14:paraId="3360E9CA" w14:textId="77777777" w:rsidTr="0099153A">
        <w:tc>
          <w:tcPr>
            <w:tcW w:w="2376" w:type="dxa"/>
          </w:tcPr>
          <w:p w14:paraId="7CF6240F" w14:textId="77777777" w:rsidR="00606EA8" w:rsidRDefault="00606EA8" w:rsidP="0099153A">
            <w:r>
              <w:t>Febbre oltre 38,5 °C</w:t>
            </w:r>
          </w:p>
        </w:tc>
        <w:tc>
          <w:tcPr>
            <w:tcW w:w="6836" w:type="dxa"/>
          </w:tcPr>
          <w:p w14:paraId="09D25A79" w14:textId="337859D9" w:rsidR="00606EA8" w:rsidRDefault="00606EA8" w:rsidP="0099153A">
            <w:r>
              <w:t xml:space="preserve">Impacchi freddi, impacchi con olio essenziale di menta piperita, coperta leggera, cambiare regolarmente la biancheria da letto e il pigiama. </w:t>
            </w:r>
          </w:p>
          <w:p w14:paraId="65E593B8" w14:textId="29628094" w:rsidR="00606EA8" w:rsidRDefault="00606EA8" w:rsidP="0099153A">
            <w:r>
              <w:t>Se la febbre non causa dolore, non è essenziale abbassarla. Per abbassare la febbre: Dafalgan 500 mg; da 1 a max. 6 cpr. al giorno oppure, in caso di difficoltà a deglutire, Dafalgan 600 mg supposte, fino a 5 al giorno</w:t>
            </w:r>
            <w:r w:rsidR="006C3822">
              <w:t xml:space="preserve"> </w:t>
            </w:r>
            <w:r w:rsidR="006C3822" w:rsidRPr="006C3822">
              <w:t>o Novalgin 20 gocce fino a 6x al giorno</w:t>
            </w:r>
            <w:r>
              <w:t>.</w:t>
            </w:r>
          </w:p>
        </w:tc>
      </w:tr>
      <w:tr w:rsidR="00606EA8" w14:paraId="2C51A3DC" w14:textId="77777777" w:rsidTr="0099153A">
        <w:tc>
          <w:tcPr>
            <w:tcW w:w="2376" w:type="dxa"/>
          </w:tcPr>
          <w:p w14:paraId="27F5AC19" w14:textId="77777777" w:rsidR="00606EA8" w:rsidRDefault="00606EA8" w:rsidP="0099153A">
            <w:r>
              <w:t>Confusione, agitazione</w:t>
            </w:r>
          </w:p>
        </w:tc>
        <w:tc>
          <w:tcPr>
            <w:tcW w:w="6836" w:type="dxa"/>
          </w:tcPr>
          <w:p w14:paraId="16D7FA06" w14:textId="77777777" w:rsidR="00606EA8" w:rsidRDefault="00606EA8" w:rsidP="0099153A">
            <w:r>
              <w:t xml:space="preserve">Dare al paziente informazioni che lo aiutino a orientarsi (ora, data, giorno). Creare un ambiente tranquillo. Verificare se il paziente può nuocere a se stesso o agli altri e prevedere la presenza costante di una persona di guardia. </w:t>
            </w:r>
          </w:p>
          <w:p w14:paraId="769F81D5" w14:textId="77777777" w:rsidR="00606EA8" w:rsidRDefault="00606EA8" w:rsidP="0099153A">
            <w:r>
              <w:t>In caso di alterazioni dell’escrezione (ritenzione urinaria o stitichezza), valutare le cause curabili.</w:t>
            </w:r>
          </w:p>
          <w:p w14:paraId="6044B76C" w14:textId="77777777" w:rsidR="00606EA8" w:rsidRDefault="00606EA8" w:rsidP="0099153A">
            <w:r>
              <w:t xml:space="preserve">Haldol gocce 2 mg/ml: 5 gocce, ripetere ogni ora, max. 50 gocce al giorno. </w:t>
            </w:r>
          </w:p>
          <w:p w14:paraId="1F2011A5" w14:textId="39A516F6" w:rsidR="00606EA8" w:rsidRPr="00327A42" w:rsidRDefault="00606EA8" w:rsidP="0099153A">
            <w:r>
              <w:t xml:space="preserve">In caso di stati ansiosi: </w:t>
            </w:r>
            <w:r w:rsidR="002F669E">
              <w:t>vedere</w:t>
            </w:r>
            <w:r>
              <w:t xml:space="preserve"> </w:t>
            </w:r>
            <w:r w:rsidR="002F669E" w:rsidRPr="002F669E">
              <w:t>sopra</w:t>
            </w:r>
          </w:p>
        </w:tc>
      </w:tr>
    </w:tbl>
    <w:p w14:paraId="0CF9673D" w14:textId="77777777" w:rsidR="00F538D8" w:rsidRPr="00327A42" w:rsidRDefault="00F538D8" w:rsidP="00F538D8"/>
    <w:p w14:paraId="5307FC3F" w14:textId="356208D3" w:rsidR="00606EA8" w:rsidRPr="00F538D8" w:rsidRDefault="00606EA8" w:rsidP="00F538D8">
      <w:pPr>
        <w:rPr>
          <w:b/>
          <w:bCs/>
          <w:sz w:val="24"/>
        </w:rPr>
      </w:pPr>
      <w:r>
        <w:rPr>
          <w:b/>
          <w:bCs/>
          <w:sz w:val="24"/>
        </w:rPr>
        <w:t>Numeri di emergenza</w:t>
      </w:r>
    </w:p>
    <w:p w14:paraId="7464E81B" w14:textId="77777777" w:rsidR="00606EA8" w:rsidRPr="00D2214E" w:rsidRDefault="00606EA8" w:rsidP="00606EA8">
      <w:r>
        <w:t xml:space="preserve">Se le misure di cui sopra non si rivelano sufficientemente efficaci a breve termine, chiamare i seguenti numeri di emergenza procedendo in ordine dall’alto in basso finché qualcuno non risponde: </w:t>
      </w:r>
    </w:p>
    <w:p w14:paraId="5E29513D" w14:textId="77777777" w:rsidR="00606EA8" w:rsidRPr="00327A42" w:rsidRDefault="00606EA8" w:rsidP="00606EA8"/>
    <w:p w14:paraId="721E6DB2" w14:textId="77777777" w:rsidR="00606EA8" w:rsidRPr="00D2214E" w:rsidRDefault="00606EA8" w:rsidP="00606EA8">
      <w:r>
        <w:t>Medico di famiglia: tel. ....................................... o tel. .......................................</w:t>
      </w:r>
    </w:p>
    <w:p w14:paraId="14632C05" w14:textId="77777777" w:rsidR="00606EA8" w:rsidRPr="00327A42" w:rsidRDefault="00606EA8" w:rsidP="00606EA8"/>
    <w:p w14:paraId="3B9C7417" w14:textId="77777777" w:rsidR="00606EA8" w:rsidRPr="00D2214E" w:rsidRDefault="00606EA8" w:rsidP="00606EA8">
      <w:r>
        <w:t xml:space="preserve">Servizio cure palliative tel. …………………………………. </w:t>
      </w:r>
    </w:p>
    <w:p w14:paraId="7C1E59A3" w14:textId="77777777" w:rsidR="00606EA8" w:rsidRPr="00327A42" w:rsidRDefault="00606EA8" w:rsidP="00606EA8"/>
    <w:p w14:paraId="3361C6C4" w14:textId="77777777" w:rsidR="00606EA8" w:rsidRDefault="00606EA8" w:rsidP="00606EA8">
      <w:r>
        <w:t>Servizio di soccorso medico: ……………………………..</w:t>
      </w:r>
    </w:p>
    <w:p w14:paraId="5AA18FF6" w14:textId="77777777" w:rsidR="00F538D8" w:rsidRPr="00327A42" w:rsidRDefault="00F538D8" w:rsidP="00F538D8"/>
    <w:p w14:paraId="49130D1E" w14:textId="56FA47CE" w:rsidR="00606EA8" w:rsidRPr="00F538D8" w:rsidRDefault="00606EA8" w:rsidP="00F538D8">
      <w:pPr>
        <w:rPr>
          <w:b/>
          <w:bCs/>
          <w:sz w:val="24"/>
        </w:rPr>
      </w:pPr>
      <w:r>
        <w:rPr>
          <w:b/>
          <w:bCs/>
          <w:sz w:val="24"/>
        </w:rPr>
        <w:t>Misure di carattere generale</w:t>
      </w:r>
    </w:p>
    <w:p w14:paraId="7AEB0F69" w14:textId="77777777" w:rsidR="00606EA8" w:rsidRDefault="00606EA8" w:rsidP="00606EA8">
      <w:r>
        <w:t xml:space="preserve">Protezione dei familiari secondo le </w:t>
      </w:r>
      <w:hyperlink r:id="rId14" w:anchor="847126359" w:history="1">
        <w:r>
          <w:rPr>
            <w:rStyle w:val="Hyperlink"/>
          </w:rPr>
          <w:t>raccomandazioni UFSP</w:t>
        </w:r>
      </w:hyperlink>
      <w:r>
        <w:t xml:space="preserve">. </w:t>
      </w:r>
    </w:p>
    <w:p w14:paraId="26BB3558" w14:textId="77777777" w:rsidR="00606EA8" w:rsidRDefault="00606EA8" w:rsidP="00606EA8">
      <w:r>
        <w:t>Rivolgersi a Spitex fin dall’inizio.</w:t>
      </w:r>
    </w:p>
    <w:p w14:paraId="76FA30BB" w14:textId="18430DD8" w:rsidR="00606EA8" w:rsidRDefault="00606EA8" w:rsidP="00606EA8">
      <w:r>
        <w:t>Usare i servizi di assistenza spirituale e sostegno psicologico per il paziente (eventualmente tramite videoconferenza) e i familiari.</w:t>
      </w:r>
    </w:p>
    <w:p w14:paraId="772C65E0" w14:textId="77777777" w:rsidR="00606EA8" w:rsidRDefault="00606EA8" w:rsidP="00606EA8">
      <w:r>
        <w:t>In caso di situazioni complesse, rivolgersi al team Palliative Care</w:t>
      </w:r>
      <w:r>
        <w:br/>
        <w:t>(</w:t>
      </w:r>
      <w:hyperlink r:id="rId15" w:anchor="zuhause" w:history="1">
        <w:r>
          <w:rPr>
            <w:rStyle w:val="Hyperlink"/>
          </w:rPr>
          <w:t>https://www.palliativkarte.ch/karte#zuhause</w:t>
        </w:r>
      </w:hyperlink>
      <w:r>
        <w:t xml:space="preserve">). </w:t>
      </w:r>
    </w:p>
    <w:p w14:paraId="7A0F9A02" w14:textId="4F30FE2E" w:rsidR="00606EA8" w:rsidRPr="00040619" w:rsidRDefault="00606EA8" w:rsidP="00606EA8"/>
    <w:p w14:paraId="25941795" w14:textId="77777777" w:rsidR="00C44EFA" w:rsidRPr="00040619" w:rsidRDefault="00C44EFA" w:rsidP="00606EA8"/>
    <w:p w14:paraId="00EDC6CC" w14:textId="7189A270" w:rsidR="00A31E33" w:rsidRDefault="00606EA8" w:rsidP="00606EA8">
      <w:r>
        <w:t>Luogo, data: ………………………………… Timbro / Firma del medico:</w:t>
      </w:r>
      <w:r w:rsidR="000772D0">
        <w:t xml:space="preserve"> </w:t>
      </w:r>
      <w:r>
        <w:t>……………………………………..</w:t>
      </w:r>
    </w:p>
    <w:p w14:paraId="5D557972" w14:textId="332103A1" w:rsidR="00F538D8" w:rsidRPr="00327A42" w:rsidRDefault="00F538D8" w:rsidP="00606EA8"/>
    <w:p w14:paraId="14951527" w14:textId="4C76C948" w:rsidR="00F538D8" w:rsidRPr="00606EA8" w:rsidRDefault="00F538D8" w:rsidP="00606EA8">
      <w:r>
        <w:t xml:space="preserve">Versione: </w:t>
      </w:r>
      <w:r w:rsidR="007A7B4B">
        <w:t>03</w:t>
      </w:r>
      <w:r>
        <w:t xml:space="preserve"> </w:t>
      </w:r>
      <w:r w:rsidR="00C07305">
        <w:t xml:space="preserve">novembre </w:t>
      </w:r>
      <w:r>
        <w:t>2020</w:t>
      </w:r>
    </w:p>
    <w:sectPr w:rsidR="00F538D8" w:rsidRPr="00606EA8" w:rsidSect="0072686B">
      <w:headerReference w:type="default" r:id="rId16"/>
      <w:footerReference w:type="default" r:id="rId17"/>
      <w:headerReference w:type="first" r:id="rId18"/>
      <w:pgSz w:w="11900" w:h="16840"/>
      <w:pgMar w:top="2410" w:right="851" w:bottom="1701"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CD78" w14:textId="77777777" w:rsidR="007829BC" w:rsidRDefault="007829BC">
      <w:r>
        <w:separator/>
      </w:r>
    </w:p>
  </w:endnote>
  <w:endnote w:type="continuationSeparator" w:id="0">
    <w:p w14:paraId="3B32293D" w14:textId="77777777" w:rsidR="007829BC" w:rsidRDefault="0078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526B" w14:textId="04DA8A4F" w:rsidR="003F25CD" w:rsidRPr="00E96E06" w:rsidRDefault="00E96E06" w:rsidP="00E96E06">
    <w:pPr>
      <w:pStyle w:val="Fuzeile"/>
    </w:pPr>
    <w:r>
      <w:rPr>
        <w:noProof/>
      </w:rPr>
      <w:drawing>
        <wp:inline distT="0" distB="0" distL="0" distR="0" wp14:anchorId="4EF8B0F8" wp14:editId="35AA03BE">
          <wp:extent cx="6300470" cy="445135"/>
          <wp:effectExtent l="0" t="0" r="5080" b="0"/>
          <wp:docPr id="50" name="Grafik 50"/>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A080" w14:textId="77777777" w:rsidR="007829BC" w:rsidRDefault="007829BC">
      <w:r>
        <w:separator/>
      </w:r>
    </w:p>
  </w:footnote>
  <w:footnote w:type="continuationSeparator" w:id="0">
    <w:p w14:paraId="291B1795" w14:textId="77777777" w:rsidR="007829BC" w:rsidRDefault="0078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A69" w14:textId="0C8D39A8" w:rsidR="003F25CD" w:rsidRDefault="003F25CD">
    <w:pPr>
      <w:pStyle w:val="Kopfzeile"/>
    </w:pPr>
    <w:r>
      <w:rPr>
        <w:noProof/>
      </w:rPr>
      <w:drawing>
        <wp:inline distT="0" distB="0" distL="0" distR="0" wp14:anchorId="20E9AC70" wp14:editId="3F890653">
          <wp:extent cx="3705225" cy="752475"/>
          <wp:effectExtent l="0" t="0" r="9525" b="9525"/>
          <wp:docPr id="49"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B0ED" w14:textId="0B354C3C" w:rsidR="003F25CD" w:rsidRDefault="003F25CD" w:rsidP="00401447">
    <w:pPr>
      <w:pStyle w:val="Kopfzeile"/>
    </w:pPr>
    <w:r>
      <w:rPr>
        <w:noProof/>
      </w:rPr>
      <w:drawing>
        <wp:inline distT="0" distB="0" distL="0" distR="0" wp14:anchorId="16BA51EC" wp14:editId="04E58016">
          <wp:extent cx="3705225" cy="752475"/>
          <wp:effectExtent l="0" t="0" r="9525" b="9525"/>
          <wp:docPr id="51" name="Bild 1" descr="cid:image008.jpg@01D083EC.E0B6A0D0"/>
          <wp:cNvGraphicFramePr/>
          <a:graphic xmlns:a="http://schemas.openxmlformats.org/drawingml/2006/main">
            <a:graphicData uri="http://schemas.openxmlformats.org/drawingml/2006/picture">
              <pic:pic xmlns:pic="http://schemas.openxmlformats.org/drawingml/2006/picture">
                <pic:nvPicPr>
                  <pic:cNvPr id="1" name="Bild 1" descr="cid:image008.jpg@01D083EC.E0B6A0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5C3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945C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FE93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F9293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27E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FEFA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800E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0E73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D240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E472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33E8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C57EB"/>
    <w:multiLevelType w:val="hybridMultilevel"/>
    <w:tmpl w:val="3AD2E2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84969A3"/>
    <w:multiLevelType w:val="hybridMultilevel"/>
    <w:tmpl w:val="2C2CDF4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64C4661"/>
    <w:multiLevelType w:val="hybridMultilevel"/>
    <w:tmpl w:val="892254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6F1FB2"/>
    <w:multiLevelType w:val="hybridMultilevel"/>
    <w:tmpl w:val="60BA49A0"/>
    <w:lvl w:ilvl="0" w:tplc="52DADB2A">
      <w:numFmt w:val="bullet"/>
      <w:lvlText w:val="-"/>
      <w:lvlJc w:val="left"/>
      <w:pPr>
        <w:ind w:left="1800" w:hanging="360"/>
      </w:pPr>
      <w:rPr>
        <w:rFonts w:ascii="Arial" w:eastAsiaTheme="minorHAnsi" w:hAnsi="Arial" w:cs="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5" w15:restartNumberingAfterBreak="0">
    <w:nsid w:val="50CD7CA3"/>
    <w:multiLevelType w:val="hybridMultilevel"/>
    <w:tmpl w:val="0E62095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BA5171A"/>
    <w:multiLevelType w:val="hybridMultilevel"/>
    <w:tmpl w:val="1DF8137A"/>
    <w:lvl w:ilvl="0" w:tplc="DE646206">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5F423E66"/>
    <w:multiLevelType w:val="hybridMultilevel"/>
    <w:tmpl w:val="404870CA"/>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681C3732"/>
    <w:multiLevelType w:val="hybridMultilevel"/>
    <w:tmpl w:val="B7F849E0"/>
    <w:lvl w:ilvl="0" w:tplc="08070001">
      <w:start w:val="1"/>
      <w:numFmt w:val="bullet"/>
      <w:lvlText w:val=""/>
      <w:lvlJc w:val="left"/>
      <w:pPr>
        <w:ind w:left="765" w:hanging="360"/>
      </w:pPr>
      <w:rPr>
        <w:rFonts w:ascii="Symbol" w:hAnsi="Symbol" w:hint="default"/>
      </w:rPr>
    </w:lvl>
    <w:lvl w:ilvl="1" w:tplc="08070003" w:tentative="1">
      <w:start w:val="1"/>
      <w:numFmt w:val="bullet"/>
      <w:lvlText w:val="o"/>
      <w:lvlJc w:val="left"/>
      <w:pPr>
        <w:ind w:left="1485" w:hanging="360"/>
      </w:pPr>
      <w:rPr>
        <w:rFonts w:ascii="Courier New" w:hAnsi="Courier New" w:cs="Courier New" w:hint="default"/>
      </w:rPr>
    </w:lvl>
    <w:lvl w:ilvl="2" w:tplc="08070005" w:tentative="1">
      <w:start w:val="1"/>
      <w:numFmt w:val="bullet"/>
      <w:lvlText w:val=""/>
      <w:lvlJc w:val="left"/>
      <w:pPr>
        <w:ind w:left="2205" w:hanging="360"/>
      </w:pPr>
      <w:rPr>
        <w:rFonts w:ascii="Wingdings" w:hAnsi="Wingdings" w:hint="default"/>
      </w:rPr>
    </w:lvl>
    <w:lvl w:ilvl="3" w:tplc="08070001" w:tentative="1">
      <w:start w:val="1"/>
      <w:numFmt w:val="bullet"/>
      <w:lvlText w:val=""/>
      <w:lvlJc w:val="left"/>
      <w:pPr>
        <w:ind w:left="2925" w:hanging="360"/>
      </w:pPr>
      <w:rPr>
        <w:rFonts w:ascii="Symbol" w:hAnsi="Symbol" w:hint="default"/>
      </w:rPr>
    </w:lvl>
    <w:lvl w:ilvl="4" w:tplc="08070003" w:tentative="1">
      <w:start w:val="1"/>
      <w:numFmt w:val="bullet"/>
      <w:lvlText w:val="o"/>
      <w:lvlJc w:val="left"/>
      <w:pPr>
        <w:ind w:left="3645" w:hanging="360"/>
      </w:pPr>
      <w:rPr>
        <w:rFonts w:ascii="Courier New" w:hAnsi="Courier New" w:cs="Courier New" w:hint="default"/>
      </w:rPr>
    </w:lvl>
    <w:lvl w:ilvl="5" w:tplc="08070005" w:tentative="1">
      <w:start w:val="1"/>
      <w:numFmt w:val="bullet"/>
      <w:lvlText w:val=""/>
      <w:lvlJc w:val="left"/>
      <w:pPr>
        <w:ind w:left="4365" w:hanging="360"/>
      </w:pPr>
      <w:rPr>
        <w:rFonts w:ascii="Wingdings" w:hAnsi="Wingdings" w:hint="default"/>
      </w:rPr>
    </w:lvl>
    <w:lvl w:ilvl="6" w:tplc="08070001" w:tentative="1">
      <w:start w:val="1"/>
      <w:numFmt w:val="bullet"/>
      <w:lvlText w:val=""/>
      <w:lvlJc w:val="left"/>
      <w:pPr>
        <w:ind w:left="5085" w:hanging="360"/>
      </w:pPr>
      <w:rPr>
        <w:rFonts w:ascii="Symbol" w:hAnsi="Symbol" w:hint="default"/>
      </w:rPr>
    </w:lvl>
    <w:lvl w:ilvl="7" w:tplc="08070003" w:tentative="1">
      <w:start w:val="1"/>
      <w:numFmt w:val="bullet"/>
      <w:lvlText w:val="o"/>
      <w:lvlJc w:val="left"/>
      <w:pPr>
        <w:ind w:left="5805" w:hanging="360"/>
      </w:pPr>
      <w:rPr>
        <w:rFonts w:ascii="Courier New" w:hAnsi="Courier New" w:cs="Courier New" w:hint="default"/>
      </w:rPr>
    </w:lvl>
    <w:lvl w:ilvl="8" w:tplc="08070005" w:tentative="1">
      <w:start w:val="1"/>
      <w:numFmt w:val="bullet"/>
      <w:lvlText w:val=""/>
      <w:lvlJc w:val="left"/>
      <w:pPr>
        <w:ind w:left="6525" w:hanging="360"/>
      </w:pPr>
      <w:rPr>
        <w:rFonts w:ascii="Wingdings" w:hAnsi="Wingdings" w:hint="default"/>
      </w:rPr>
    </w:lvl>
  </w:abstractNum>
  <w:abstractNum w:abstractNumId="19" w15:restartNumberingAfterBreak="0">
    <w:nsid w:val="6A1F6955"/>
    <w:multiLevelType w:val="hybridMultilevel"/>
    <w:tmpl w:val="837CBC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D55765"/>
    <w:multiLevelType w:val="hybridMultilevel"/>
    <w:tmpl w:val="E9923C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AF440A"/>
    <w:multiLevelType w:val="hybridMultilevel"/>
    <w:tmpl w:val="09E640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20"/>
  </w:num>
  <w:num w:numId="15">
    <w:abstractNumId w:val="19"/>
  </w:num>
  <w:num w:numId="16">
    <w:abstractNumId w:val="13"/>
  </w:num>
  <w:num w:numId="17">
    <w:abstractNumId w:val="15"/>
  </w:num>
  <w:num w:numId="18">
    <w:abstractNumId w:val="16"/>
  </w:num>
  <w:num w:numId="19">
    <w:abstractNumId w:val="17"/>
  </w:num>
  <w:num w:numId="20">
    <w:abstractNumId w:val="14"/>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drawingGridHorizontalSpacing w:val="357"/>
  <w:drawingGridVerticalSpacing w:val="57"/>
  <w:displayHorizontalDrawingGridEvery w:val="0"/>
  <w:displayVerticalDrawingGridEvery w:val="0"/>
  <w:doNotUseMarginsForDrawingGridOrigin/>
  <w:drawingGridHorizontalOrigin w:val="0"/>
  <w:drawingGridVerticalOrigin w:val="141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3F"/>
    <w:rsid w:val="0000109C"/>
    <w:rsid w:val="000034B4"/>
    <w:rsid w:val="000115AC"/>
    <w:rsid w:val="00017A80"/>
    <w:rsid w:val="00024D77"/>
    <w:rsid w:val="0002777C"/>
    <w:rsid w:val="00033341"/>
    <w:rsid w:val="00035413"/>
    <w:rsid w:val="00040619"/>
    <w:rsid w:val="0005411A"/>
    <w:rsid w:val="00067669"/>
    <w:rsid w:val="000772D0"/>
    <w:rsid w:val="00082FF2"/>
    <w:rsid w:val="00091ABE"/>
    <w:rsid w:val="000938B9"/>
    <w:rsid w:val="000B27DC"/>
    <w:rsid w:val="000D652D"/>
    <w:rsid w:val="000F490E"/>
    <w:rsid w:val="000F74DC"/>
    <w:rsid w:val="00121D56"/>
    <w:rsid w:val="0012639D"/>
    <w:rsid w:val="0014193F"/>
    <w:rsid w:val="001445EA"/>
    <w:rsid w:val="001460E2"/>
    <w:rsid w:val="00150B39"/>
    <w:rsid w:val="00157CBE"/>
    <w:rsid w:val="00167295"/>
    <w:rsid w:val="001679BF"/>
    <w:rsid w:val="001760C2"/>
    <w:rsid w:val="001A7F30"/>
    <w:rsid w:val="001E3CD4"/>
    <w:rsid w:val="001E3ED3"/>
    <w:rsid w:val="001F22E3"/>
    <w:rsid w:val="001F653E"/>
    <w:rsid w:val="002008F7"/>
    <w:rsid w:val="002041FE"/>
    <w:rsid w:val="00207BF6"/>
    <w:rsid w:val="00211F89"/>
    <w:rsid w:val="00221A26"/>
    <w:rsid w:val="00232BFB"/>
    <w:rsid w:val="00240C90"/>
    <w:rsid w:val="0024797C"/>
    <w:rsid w:val="002617E2"/>
    <w:rsid w:val="00261B2D"/>
    <w:rsid w:val="002674BA"/>
    <w:rsid w:val="00270334"/>
    <w:rsid w:val="0027263C"/>
    <w:rsid w:val="002807D2"/>
    <w:rsid w:val="00292862"/>
    <w:rsid w:val="0029298A"/>
    <w:rsid w:val="0029784F"/>
    <w:rsid w:val="002A07F3"/>
    <w:rsid w:val="002A2A26"/>
    <w:rsid w:val="002A4D9B"/>
    <w:rsid w:val="002B69DC"/>
    <w:rsid w:val="002B703C"/>
    <w:rsid w:val="002B78A2"/>
    <w:rsid w:val="002C3E4C"/>
    <w:rsid w:val="002D5427"/>
    <w:rsid w:val="002F669E"/>
    <w:rsid w:val="002F704A"/>
    <w:rsid w:val="0030614C"/>
    <w:rsid w:val="0031121D"/>
    <w:rsid w:val="0031691C"/>
    <w:rsid w:val="003169B0"/>
    <w:rsid w:val="0032114A"/>
    <w:rsid w:val="00322A30"/>
    <w:rsid w:val="00327A42"/>
    <w:rsid w:val="003406DC"/>
    <w:rsid w:val="00342760"/>
    <w:rsid w:val="00343487"/>
    <w:rsid w:val="00353B69"/>
    <w:rsid w:val="003601BA"/>
    <w:rsid w:val="003630ED"/>
    <w:rsid w:val="003A494A"/>
    <w:rsid w:val="003D01E9"/>
    <w:rsid w:val="003D49B2"/>
    <w:rsid w:val="003D51C8"/>
    <w:rsid w:val="003E25BC"/>
    <w:rsid w:val="003E6EC3"/>
    <w:rsid w:val="003F25CD"/>
    <w:rsid w:val="003F4CF7"/>
    <w:rsid w:val="00401447"/>
    <w:rsid w:val="00407EDF"/>
    <w:rsid w:val="00410A36"/>
    <w:rsid w:val="00411F0E"/>
    <w:rsid w:val="004232F6"/>
    <w:rsid w:val="004256CE"/>
    <w:rsid w:val="00426F99"/>
    <w:rsid w:val="004538F3"/>
    <w:rsid w:val="004575F7"/>
    <w:rsid w:val="00463CF3"/>
    <w:rsid w:val="00472AAE"/>
    <w:rsid w:val="00480146"/>
    <w:rsid w:val="00480C62"/>
    <w:rsid w:val="0049480A"/>
    <w:rsid w:val="004C030E"/>
    <w:rsid w:val="004C0E31"/>
    <w:rsid w:val="004D3E4F"/>
    <w:rsid w:val="004F0B0A"/>
    <w:rsid w:val="004F3F70"/>
    <w:rsid w:val="00534D07"/>
    <w:rsid w:val="00535030"/>
    <w:rsid w:val="005438A0"/>
    <w:rsid w:val="005669EC"/>
    <w:rsid w:val="00573930"/>
    <w:rsid w:val="005829DE"/>
    <w:rsid w:val="005A21AD"/>
    <w:rsid w:val="005A4235"/>
    <w:rsid w:val="005A5C70"/>
    <w:rsid w:val="005B0C0D"/>
    <w:rsid w:val="005C225A"/>
    <w:rsid w:val="005C3801"/>
    <w:rsid w:val="005F341B"/>
    <w:rsid w:val="005F5FA6"/>
    <w:rsid w:val="00606EA8"/>
    <w:rsid w:val="0061378A"/>
    <w:rsid w:val="00622472"/>
    <w:rsid w:val="006267D2"/>
    <w:rsid w:val="00631FA2"/>
    <w:rsid w:val="00654007"/>
    <w:rsid w:val="00665641"/>
    <w:rsid w:val="006765E2"/>
    <w:rsid w:val="0068074F"/>
    <w:rsid w:val="00684788"/>
    <w:rsid w:val="00685CAE"/>
    <w:rsid w:val="00687383"/>
    <w:rsid w:val="006A25F6"/>
    <w:rsid w:val="006A40BD"/>
    <w:rsid w:val="006B6045"/>
    <w:rsid w:val="006C3822"/>
    <w:rsid w:val="006C7495"/>
    <w:rsid w:val="006E2571"/>
    <w:rsid w:val="006E2DE6"/>
    <w:rsid w:val="006E54A8"/>
    <w:rsid w:val="00705C91"/>
    <w:rsid w:val="00707388"/>
    <w:rsid w:val="007112DF"/>
    <w:rsid w:val="00723F35"/>
    <w:rsid w:val="0072686B"/>
    <w:rsid w:val="00726FBC"/>
    <w:rsid w:val="00741D9D"/>
    <w:rsid w:val="007605B4"/>
    <w:rsid w:val="00780F2D"/>
    <w:rsid w:val="007829BC"/>
    <w:rsid w:val="0078331B"/>
    <w:rsid w:val="00795800"/>
    <w:rsid w:val="00796B14"/>
    <w:rsid w:val="00796C7B"/>
    <w:rsid w:val="007A1697"/>
    <w:rsid w:val="007A2127"/>
    <w:rsid w:val="007A7B4B"/>
    <w:rsid w:val="007C5D7D"/>
    <w:rsid w:val="007D4453"/>
    <w:rsid w:val="007E3E76"/>
    <w:rsid w:val="007E408C"/>
    <w:rsid w:val="00802D00"/>
    <w:rsid w:val="00816241"/>
    <w:rsid w:val="00822E9C"/>
    <w:rsid w:val="00823E7C"/>
    <w:rsid w:val="00826B76"/>
    <w:rsid w:val="0083616B"/>
    <w:rsid w:val="00836BD6"/>
    <w:rsid w:val="00842136"/>
    <w:rsid w:val="00843080"/>
    <w:rsid w:val="00853280"/>
    <w:rsid w:val="00866431"/>
    <w:rsid w:val="008A2A07"/>
    <w:rsid w:val="008A30CC"/>
    <w:rsid w:val="008A46EF"/>
    <w:rsid w:val="008B03BB"/>
    <w:rsid w:val="008C2C9A"/>
    <w:rsid w:val="008D7FB5"/>
    <w:rsid w:val="00906318"/>
    <w:rsid w:val="00906E9D"/>
    <w:rsid w:val="009128C4"/>
    <w:rsid w:val="00926635"/>
    <w:rsid w:val="009441A2"/>
    <w:rsid w:val="0095175B"/>
    <w:rsid w:val="0097038E"/>
    <w:rsid w:val="0097070E"/>
    <w:rsid w:val="00973EB9"/>
    <w:rsid w:val="00995500"/>
    <w:rsid w:val="009B1D9D"/>
    <w:rsid w:val="009B2D05"/>
    <w:rsid w:val="009C403F"/>
    <w:rsid w:val="009D1F27"/>
    <w:rsid w:val="00A04229"/>
    <w:rsid w:val="00A079CC"/>
    <w:rsid w:val="00A07A3D"/>
    <w:rsid w:val="00A10B59"/>
    <w:rsid w:val="00A171F9"/>
    <w:rsid w:val="00A2719E"/>
    <w:rsid w:val="00A31E33"/>
    <w:rsid w:val="00A35EA0"/>
    <w:rsid w:val="00A44F4B"/>
    <w:rsid w:val="00A46B83"/>
    <w:rsid w:val="00A50ED1"/>
    <w:rsid w:val="00A62B1C"/>
    <w:rsid w:val="00A74DA8"/>
    <w:rsid w:val="00A95D95"/>
    <w:rsid w:val="00AA7150"/>
    <w:rsid w:val="00AD3854"/>
    <w:rsid w:val="00AD3D43"/>
    <w:rsid w:val="00AF1E8F"/>
    <w:rsid w:val="00AF5316"/>
    <w:rsid w:val="00B013B8"/>
    <w:rsid w:val="00B1246D"/>
    <w:rsid w:val="00B242C6"/>
    <w:rsid w:val="00B32C5D"/>
    <w:rsid w:val="00B32FCB"/>
    <w:rsid w:val="00B36D16"/>
    <w:rsid w:val="00B53553"/>
    <w:rsid w:val="00B64D46"/>
    <w:rsid w:val="00B67CDB"/>
    <w:rsid w:val="00B9656D"/>
    <w:rsid w:val="00BB51D7"/>
    <w:rsid w:val="00BC1D58"/>
    <w:rsid w:val="00BD283F"/>
    <w:rsid w:val="00BE6031"/>
    <w:rsid w:val="00C06307"/>
    <w:rsid w:val="00C07305"/>
    <w:rsid w:val="00C0774D"/>
    <w:rsid w:val="00C12435"/>
    <w:rsid w:val="00C14FDF"/>
    <w:rsid w:val="00C1502B"/>
    <w:rsid w:val="00C360BD"/>
    <w:rsid w:val="00C41494"/>
    <w:rsid w:val="00C44EFA"/>
    <w:rsid w:val="00C45A7A"/>
    <w:rsid w:val="00C45EEF"/>
    <w:rsid w:val="00C53D65"/>
    <w:rsid w:val="00C5682D"/>
    <w:rsid w:val="00C60AA0"/>
    <w:rsid w:val="00C762AB"/>
    <w:rsid w:val="00C84250"/>
    <w:rsid w:val="00C85546"/>
    <w:rsid w:val="00C925A9"/>
    <w:rsid w:val="00C95349"/>
    <w:rsid w:val="00CA69C3"/>
    <w:rsid w:val="00CB1548"/>
    <w:rsid w:val="00CB76FE"/>
    <w:rsid w:val="00CD0DAE"/>
    <w:rsid w:val="00CD19A2"/>
    <w:rsid w:val="00CD7BB9"/>
    <w:rsid w:val="00CE2E38"/>
    <w:rsid w:val="00CE6946"/>
    <w:rsid w:val="00CF77AC"/>
    <w:rsid w:val="00D0060D"/>
    <w:rsid w:val="00D12213"/>
    <w:rsid w:val="00D14AE7"/>
    <w:rsid w:val="00D20755"/>
    <w:rsid w:val="00D35F0B"/>
    <w:rsid w:val="00D40183"/>
    <w:rsid w:val="00D50BB8"/>
    <w:rsid w:val="00D872C6"/>
    <w:rsid w:val="00D90E45"/>
    <w:rsid w:val="00DA0BE1"/>
    <w:rsid w:val="00DC04EF"/>
    <w:rsid w:val="00DC56F1"/>
    <w:rsid w:val="00DC7F37"/>
    <w:rsid w:val="00DD620F"/>
    <w:rsid w:val="00DF0706"/>
    <w:rsid w:val="00DF62F8"/>
    <w:rsid w:val="00E00421"/>
    <w:rsid w:val="00E12600"/>
    <w:rsid w:val="00E16D42"/>
    <w:rsid w:val="00E3266E"/>
    <w:rsid w:val="00E42EAD"/>
    <w:rsid w:val="00E47D61"/>
    <w:rsid w:val="00E5225C"/>
    <w:rsid w:val="00E70F54"/>
    <w:rsid w:val="00E713CE"/>
    <w:rsid w:val="00E73FCE"/>
    <w:rsid w:val="00E76925"/>
    <w:rsid w:val="00E7760C"/>
    <w:rsid w:val="00E81723"/>
    <w:rsid w:val="00E817DA"/>
    <w:rsid w:val="00E81FA4"/>
    <w:rsid w:val="00E85FCD"/>
    <w:rsid w:val="00E9659F"/>
    <w:rsid w:val="00E96E06"/>
    <w:rsid w:val="00EB351E"/>
    <w:rsid w:val="00EC36F5"/>
    <w:rsid w:val="00ED1355"/>
    <w:rsid w:val="00EE02D1"/>
    <w:rsid w:val="00EE1AEF"/>
    <w:rsid w:val="00EE6CEC"/>
    <w:rsid w:val="00EF4340"/>
    <w:rsid w:val="00F02DCA"/>
    <w:rsid w:val="00F25AE6"/>
    <w:rsid w:val="00F3414C"/>
    <w:rsid w:val="00F41922"/>
    <w:rsid w:val="00F43AA3"/>
    <w:rsid w:val="00F505A0"/>
    <w:rsid w:val="00F538D8"/>
    <w:rsid w:val="00F547A3"/>
    <w:rsid w:val="00F62344"/>
    <w:rsid w:val="00F66677"/>
    <w:rsid w:val="00F727B4"/>
    <w:rsid w:val="00F87235"/>
    <w:rsid w:val="00F91259"/>
    <w:rsid w:val="00F943EC"/>
    <w:rsid w:val="00F94405"/>
    <w:rsid w:val="00FA16F0"/>
    <w:rsid w:val="00FA4A77"/>
    <w:rsid w:val="00FB65F5"/>
    <w:rsid w:val="00FC1BB9"/>
    <w:rsid w:val="00FE0868"/>
    <w:rsid w:val="00FE50FA"/>
    <w:rsid w:val="00FF4E58"/>
    <w:rsid w:val="00FF4FF9"/>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E3DD21"/>
  <w15:docId w15:val="{4BD7E3A2-EB6A-4DB0-92F2-64E079A2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7BF6"/>
    <w:rPr>
      <w:rFonts w:asciiTheme="majorHAnsi" w:hAnsiTheme="majorHAnsi"/>
      <w:sz w:val="22"/>
    </w:rPr>
  </w:style>
  <w:style w:type="paragraph" w:styleId="berschrift1">
    <w:name w:val="heading 1"/>
    <w:basedOn w:val="Standard"/>
    <w:next w:val="Standard"/>
    <w:link w:val="berschrift1Zchn"/>
    <w:uiPriority w:val="9"/>
    <w:qFormat/>
    <w:rsid w:val="00606EA8"/>
    <w:pPr>
      <w:keepNext/>
      <w:keepLines/>
      <w:spacing w:before="240"/>
      <w:outlineLvl w:val="0"/>
    </w:pPr>
    <w:rPr>
      <w:rFonts w:eastAsiaTheme="majorEastAsia"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30CC"/>
    <w:pPr>
      <w:tabs>
        <w:tab w:val="center" w:pos="4536"/>
        <w:tab w:val="right" w:pos="9072"/>
      </w:tabs>
    </w:pPr>
  </w:style>
  <w:style w:type="character" w:customStyle="1" w:styleId="KopfzeileZchn">
    <w:name w:val="Kopfzeile Zchn"/>
    <w:basedOn w:val="Absatz-Standardschriftart"/>
    <w:link w:val="Kopfzeile"/>
    <w:uiPriority w:val="99"/>
    <w:rsid w:val="008A30CC"/>
  </w:style>
  <w:style w:type="paragraph" w:styleId="Fuzeile">
    <w:name w:val="footer"/>
    <w:basedOn w:val="Standard"/>
    <w:link w:val="FuzeileZchn"/>
    <w:uiPriority w:val="99"/>
    <w:unhideWhenUsed/>
    <w:rsid w:val="008A30CC"/>
    <w:pPr>
      <w:tabs>
        <w:tab w:val="center" w:pos="4536"/>
        <w:tab w:val="right" w:pos="9072"/>
      </w:tabs>
    </w:pPr>
  </w:style>
  <w:style w:type="character" w:customStyle="1" w:styleId="FuzeileZchn">
    <w:name w:val="Fußzeile Zchn"/>
    <w:basedOn w:val="Absatz-Standardschriftart"/>
    <w:link w:val="Fuzeile"/>
    <w:uiPriority w:val="99"/>
    <w:rsid w:val="008A30CC"/>
  </w:style>
  <w:style w:type="paragraph" w:styleId="Sprechblasentext">
    <w:name w:val="Balloon Text"/>
    <w:basedOn w:val="Standard"/>
    <w:link w:val="SprechblasentextZchn"/>
    <w:uiPriority w:val="99"/>
    <w:semiHidden/>
    <w:unhideWhenUsed/>
    <w:rsid w:val="00207B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7BF6"/>
    <w:rPr>
      <w:rFonts w:ascii="Tahoma" w:hAnsi="Tahoma" w:cs="Tahoma"/>
      <w:sz w:val="16"/>
      <w:szCs w:val="16"/>
    </w:rPr>
  </w:style>
  <w:style w:type="character" w:styleId="Hyperlink">
    <w:name w:val="Hyperlink"/>
    <w:basedOn w:val="Absatz-Standardschriftart"/>
    <w:unhideWhenUsed/>
    <w:rsid w:val="00CA69C3"/>
    <w:rPr>
      <w:color w:val="0000FF" w:themeColor="hyperlink"/>
      <w:u w:val="single"/>
    </w:rPr>
  </w:style>
  <w:style w:type="character" w:customStyle="1" w:styleId="NichtaufgelsteErwhnung1">
    <w:name w:val="Nicht aufgelöste Erwähnung1"/>
    <w:basedOn w:val="Absatz-Standardschriftart"/>
    <w:uiPriority w:val="99"/>
    <w:semiHidden/>
    <w:unhideWhenUsed/>
    <w:rsid w:val="00CA69C3"/>
    <w:rPr>
      <w:color w:val="605E5C"/>
      <w:shd w:val="clear" w:color="auto" w:fill="E1DFDD"/>
    </w:rPr>
  </w:style>
  <w:style w:type="table" w:styleId="Tabellenraster">
    <w:name w:val="Table Grid"/>
    <w:basedOn w:val="NormaleTabelle"/>
    <w:uiPriority w:val="39"/>
    <w:rsid w:val="00270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49B2"/>
    <w:pPr>
      <w:spacing w:after="160" w:line="259" w:lineRule="auto"/>
      <w:ind w:left="720"/>
      <w:contextualSpacing/>
    </w:pPr>
    <w:rPr>
      <w:rFonts w:asciiTheme="minorHAnsi" w:hAnsiTheme="minorHAnsi"/>
      <w:szCs w:val="22"/>
    </w:rPr>
  </w:style>
  <w:style w:type="character" w:styleId="Kommentarzeichen">
    <w:name w:val="annotation reference"/>
    <w:basedOn w:val="Absatz-Standardschriftart"/>
    <w:uiPriority w:val="99"/>
    <w:semiHidden/>
    <w:unhideWhenUsed/>
    <w:rsid w:val="00D40183"/>
    <w:rPr>
      <w:sz w:val="18"/>
      <w:szCs w:val="18"/>
    </w:rPr>
  </w:style>
  <w:style w:type="paragraph" w:styleId="Kommentartext">
    <w:name w:val="annotation text"/>
    <w:basedOn w:val="Standard"/>
    <w:link w:val="KommentartextZchn"/>
    <w:uiPriority w:val="99"/>
    <w:semiHidden/>
    <w:unhideWhenUsed/>
    <w:rsid w:val="00D40183"/>
    <w:rPr>
      <w:sz w:val="24"/>
    </w:rPr>
  </w:style>
  <w:style w:type="character" w:customStyle="1" w:styleId="KommentartextZchn">
    <w:name w:val="Kommentartext Zchn"/>
    <w:basedOn w:val="Absatz-Standardschriftart"/>
    <w:link w:val="Kommentartext"/>
    <w:uiPriority w:val="99"/>
    <w:semiHidden/>
    <w:rsid w:val="00D40183"/>
    <w:rPr>
      <w:rFonts w:asciiTheme="majorHAnsi" w:hAnsiTheme="majorHAnsi"/>
    </w:rPr>
  </w:style>
  <w:style w:type="paragraph" w:styleId="Kommentarthema">
    <w:name w:val="annotation subject"/>
    <w:basedOn w:val="Kommentartext"/>
    <w:next w:val="Kommentartext"/>
    <w:link w:val="KommentarthemaZchn"/>
    <w:uiPriority w:val="99"/>
    <w:semiHidden/>
    <w:unhideWhenUsed/>
    <w:rsid w:val="00D40183"/>
    <w:rPr>
      <w:b/>
      <w:bCs/>
      <w:sz w:val="20"/>
      <w:szCs w:val="20"/>
    </w:rPr>
  </w:style>
  <w:style w:type="character" w:customStyle="1" w:styleId="KommentarthemaZchn">
    <w:name w:val="Kommentarthema Zchn"/>
    <w:basedOn w:val="KommentartextZchn"/>
    <w:link w:val="Kommentarthema"/>
    <w:uiPriority w:val="99"/>
    <w:semiHidden/>
    <w:rsid w:val="00D40183"/>
    <w:rPr>
      <w:rFonts w:asciiTheme="majorHAnsi" w:hAnsiTheme="majorHAnsi"/>
      <w:b/>
      <w:bCs/>
      <w:sz w:val="20"/>
      <w:szCs w:val="20"/>
    </w:rPr>
  </w:style>
  <w:style w:type="character" w:styleId="NichtaufgelsteErwhnung">
    <w:name w:val="Unresolved Mention"/>
    <w:basedOn w:val="Absatz-Standardschriftart"/>
    <w:uiPriority w:val="99"/>
    <w:semiHidden/>
    <w:unhideWhenUsed/>
    <w:rsid w:val="009441A2"/>
    <w:rPr>
      <w:color w:val="605E5C"/>
      <w:shd w:val="clear" w:color="auto" w:fill="E1DFDD"/>
    </w:rPr>
  </w:style>
  <w:style w:type="character" w:customStyle="1" w:styleId="berschrift1Zchn">
    <w:name w:val="Überschrift 1 Zchn"/>
    <w:basedOn w:val="Absatz-Standardschriftart"/>
    <w:link w:val="berschrift1"/>
    <w:uiPriority w:val="9"/>
    <w:rsid w:val="00606EA8"/>
    <w:rPr>
      <w:rFonts w:asciiTheme="majorHAnsi" w:eastAsiaTheme="majorEastAsia" w:hAnsiTheme="majorHAnsi" w:cstheme="majorBidi"/>
      <w:color w:val="365F91" w:themeColor="accent1" w:themeShade="BF"/>
      <w:sz w:val="32"/>
      <w:szCs w:val="32"/>
    </w:rPr>
  </w:style>
  <w:style w:type="paragraph" w:styleId="berarbeitung">
    <w:name w:val="Revision"/>
    <w:hidden/>
    <w:uiPriority w:val="99"/>
    <w:semiHidden/>
    <w:rsid w:val="005669EC"/>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apolmonare.ch/fileadmin/user_upload/LLS/01_MetaNavigation/04_Fachpersonen/Verordnungsformulare/IT/verordnungsformular_4i.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li47I4861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zNc3am8a-84" TargetMode="External"/><Relationship Id="rId5" Type="http://schemas.openxmlformats.org/officeDocument/2006/relationships/styles" Target="styles.xml"/><Relationship Id="rId15" Type="http://schemas.openxmlformats.org/officeDocument/2006/relationships/hyperlink" Target="https://www.palliativkarte.ch/karte" TargetMode="External"/><Relationship Id="rId10" Type="http://schemas.openxmlformats.org/officeDocument/2006/relationships/hyperlink" Target="https://www.manacareapp.com/pneumonie-prophylax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g.admin.ch/bag/it/home/krankheiten/ausbrueche-epidemien-pandemien/aktuelle-ausbrueche-epidemien/novel-cov/so-schuetzen-wir-un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7\AppData\Local\Temp\Briefvorlage%20Palliative-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6B2F88A07B384383554DE13D492279" ma:contentTypeVersion="12" ma:contentTypeDescription="Ein neues Dokument erstellen." ma:contentTypeScope="" ma:versionID="3133ff7e4e8244222a9d347596c37ca1">
  <xsd:schema xmlns:xsd="http://www.w3.org/2001/XMLSchema" xmlns:xs="http://www.w3.org/2001/XMLSchema" xmlns:p="http://schemas.microsoft.com/office/2006/metadata/properties" xmlns:ns2="6f156191-2c80-4d93-b81e-fe948b45438b" xmlns:ns3="c1ef9e7c-8b62-4266-863c-c4f67eec7ce8" targetNamespace="http://schemas.microsoft.com/office/2006/metadata/properties" ma:root="true" ma:fieldsID="7c253a20435244380f03bc2cccd74b0c" ns2:_="" ns3:_="">
    <xsd:import namespace="6f156191-2c80-4d93-b81e-fe948b45438b"/>
    <xsd:import namespace="c1ef9e7c-8b62-4266-863c-c4f67eec7c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6191-2c80-4d93-b81e-fe948b454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9e7c-8b62-4266-863c-c4f67eec7ce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B84EE-60A5-4169-B0B1-8D8191167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7DF90-2B28-4AE3-89DF-16BD82B9C99E}">
  <ds:schemaRefs>
    <ds:schemaRef ds:uri="http://schemas.microsoft.com/sharepoint/v3/contenttype/forms"/>
  </ds:schemaRefs>
</ds:datastoreItem>
</file>

<file path=customXml/itemProps3.xml><?xml version="1.0" encoding="utf-8"?>
<ds:datastoreItem xmlns:ds="http://schemas.openxmlformats.org/officeDocument/2006/customXml" ds:itemID="{0341485B-3A1B-476B-AAD5-9997F040A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6191-2c80-4d93-b81e-fe948b45438b"/>
    <ds:schemaRef ds:uri="c1ef9e7c-8b62-4266-863c-c4f67eec7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 Palliative-1</Template>
  <TotalTime>0</TotalTime>
  <Pages>2</Pages>
  <Words>730</Words>
  <Characters>4602</Characters>
  <Application>Microsoft Office Word</Application>
  <DocSecurity>0</DocSecurity>
  <Lines>38</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una &gt;the ideas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Walter7</dc:creator>
  <cp:lastModifiedBy>Stephanie Alder</cp:lastModifiedBy>
  <cp:revision>2</cp:revision>
  <cp:lastPrinted>2020-03-17T09:53:00Z</cp:lastPrinted>
  <dcterms:created xsi:type="dcterms:W3CDTF">2021-04-26T13:40:00Z</dcterms:created>
  <dcterms:modified xsi:type="dcterms:W3CDTF">2021-04-26T13:40:00Z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0x010100566B2F88A07B384383554DE13D492279</vt:lpwstr>
  </property>
  <property fmtid="{D5CDD505-2E9C-101B-9397-08002B2CF9AE}" pid="3" name="Order">
    <vt:r8>208000</vt:r8>
  </property>
</Properties>
</file>